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CABB" w14:textId="1AE9AAB4" w:rsidR="00A26658" w:rsidRPr="00A26658" w:rsidRDefault="00A26658" w:rsidP="00A26658">
      <w:pPr>
        <w:pStyle w:val="spar"/>
        <w:jc w:val="center"/>
        <w:rPr>
          <w:rFonts w:ascii="Calibri" w:hAnsi="Calibri" w:cs="Calibri"/>
          <w:color w:val="000000"/>
          <w:shd w:val="clear" w:color="auto" w:fill="FFFFFF"/>
        </w:rPr>
      </w:pPr>
    </w:p>
    <w:p w14:paraId="625E8FF1" w14:textId="2B12F811" w:rsidR="00A26658" w:rsidRPr="00A26658" w:rsidRDefault="00A26658" w:rsidP="00A26658">
      <w:pPr>
        <w:pStyle w:val="spar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0D04E9">
        <w:rPr>
          <w:rFonts w:ascii="Calibri" w:hAnsi="Calibri" w:cs="Calibri"/>
          <w:color w:val="000000"/>
          <w:shd w:val="clear" w:color="auto" w:fill="FFFFFF"/>
        </w:rPr>
        <w:t>9</w:t>
      </w:r>
    </w:p>
    <w:p w14:paraId="3D82FDDA" w14:textId="26CB5A93" w:rsidR="00A26658" w:rsidRPr="00A26658" w:rsidRDefault="00A26658" w:rsidP="00A26658">
      <w:pPr>
        <w:pStyle w:val="spar"/>
        <w:jc w:val="center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DECIZIE DE FINANŢARE</w:t>
      </w:r>
    </w:p>
    <w:p w14:paraId="655177FF" w14:textId="77777777" w:rsidR="00A26658" w:rsidRPr="00A26658" w:rsidRDefault="00A26658" w:rsidP="00A26658">
      <w:pPr>
        <w:pStyle w:val="spar"/>
        <w:jc w:val="center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- model -</w:t>
      </w:r>
    </w:p>
    <w:p w14:paraId="01756FBF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.........(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persoana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proofErr w:type="gramStart"/>
      <w:r w:rsidRPr="00A26658">
        <w:rPr>
          <w:rFonts w:ascii="Calibri" w:hAnsi="Calibri" w:cs="Calibri"/>
          <w:color w:val="000000"/>
          <w:shd w:val="clear" w:color="auto" w:fill="FFFFFF"/>
        </w:rPr>
        <w:t>juridică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)...........</w:t>
      </w:r>
      <w:proofErr w:type="gram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calitate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Autoritate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management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Programul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.....................................,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sediul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str. ........... nr. </w:t>
      </w:r>
      <w:proofErr w:type="gramStart"/>
      <w:r w:rsidRPr="00A26658">
        <w:rPr>
          <w:rFonts w:ascii="Calibri" w:hAnsi="Calibri" w:cs="Calibri"/>
          <w:color w:val="000000"/>
          <w:shd w:val="clear" w:color="auto" w:fill="FFFFFF"/>
        </w:rPr>
        <w:t>.....</w:t>
      </w:r>
      <w:proofErr w:type="gram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localitatea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judeţul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România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codul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poştal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telefon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..............., fax .....................,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poştă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electronică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codul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fiscal .............,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reprezentată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legal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prin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persoana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fizică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numele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prenumele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funcţia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deţinută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)......….,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denumită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urmează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AM,</w:t>
      </w:r>
    </w:p>
    <w:p w14:paraId="114C9A67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emite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acordarea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finanţării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nerambursabile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beneficiarului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: </w:t>
      </w:r>
    </w:p>
    <w:p w14:paraId="42CC14BF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..........(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persoana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proofErr w:type="gramStart"/>
      <w:r w:rsidRPr="00A26658">
        <w:rPr>
          <w:rFonts w:ascii="Calibri" w:hAnsi="Calibri" w:cs="Calibri"/>
          <w:color w:val="000000"/>
          <w:shd w:val="clear" w:color="auto" w:fill="FFFFFF"/>
        </w:rPr>
        <w:t>juridică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)...........</w:t>
      </w:r>
      <w:proofErr w:type="gram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codul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identificare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fiscală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............................,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înregistrată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..........….. cu nr. ....../</w:t>
      </w:r>
      <w:proofErr w:type="gramStart"/>
      <w:r w:rsidRPr="00A26658">
        <w:rPr>
          <w:rFonts w:ascii="Calibri" w:hAnsi="Calibri" w:cs="Calibri"/>
          <w:color w:val="000000"/>
          <w:shd w:val="clear" w:color="auto" w:fill="FFFFFF"/>
        </w:rPr>
        <w:t>..../</w:t>
      </w:r>
      <w:proofErr w:type="gram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........,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sediul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localitatea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...................., str. .......................... nr. 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sectorul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judeţul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…….......,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România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telefon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…......., fax </w:t>
      </w:r>
      <w:proofErr w:type="gramStart"/>
      <w:r w:rsidRPr="00A26658">
        <w:rPr>
          <w:rFonts w:ascii="Calibri" w:hAnsi="Calibri" w:cs="Calibri"/>
          <w:color w:val="000000"/>
          <w:shd w:val="clear" w:color="auto" w:fill="FFFFFF"/>
        </w:rPr>
        <w:t>.....</w:t>
      </w:r>
      <w:proofErr w:type="gram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poştă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electronică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.....................,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reprezentată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legal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prin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..........(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persoana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fizică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numele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prenumele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funcţia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deţinută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)............,</w:t>
      </w:r>
    </w:p>
    <w:p w14:paraId="2A44B2A0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calitate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al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finanţării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lider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parteneriat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denumit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continuare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,</w:t>
      </w:r>
    </w:p>
    <w:p w14:paraId="28856E02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următoarele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condiţii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:</w:t>
      </w:r>
    </w:p>
    <w:p w14:paraId="21D9F9F3" w14:textId="77777777" w:rsidR="00A26658" w:rsidRPr="00A26658" w:rsidRDefault="00A26658" w:rsidP="00A26658">
      <w:pPr>
        <w:jc w:val="both"/>
        <w:rPr>
          <w:rStyle w:val="spctbdy"/>
          <w:rFonts w:ascii="Calibri" w:eastAsia="Times New Roman" w:hAnsi="Calibri" w:cs="Calibri"/>
          <w:sz w:val="24"/>
          <w:szCs w:val="24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I.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Precizări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prealabile</w:t>
      </w:r>
      <w:proofErr w:type="spellEnd"/>
    </w:p>
    <w:p w14:paraId="4256B419" w14:textId="77777777" w:rsidR="00A26658" w:rsidRPr="00A26658" w:rsidRDefault="00A26658" w:rsidP="00A26658">
      <w:pPr>
        <w:jc w:val="both"/>
        <w:rPr>
          <w:rStyle w:val="spctbdy"/>
          <w:rFonts w:ascii="Calibri" w:eastAsia="Times New Roman" w:hAnsi="Calibri" w:cs="Calibri"/>
          <w:sz w:val="24"/>
          <w:szCs w:val="24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1.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situaţiilor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contextul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cere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altfel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prevederi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contrare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:</w:t>
      </w:r>
    </w:p>
    <w:p w14:paraId="1347EE3D" w14:textId="4FD99AFF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cuvintele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singularul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pluralul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cuvintele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pluralul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singularul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98B54C1" w14:textId="6A1C01B9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cuvintele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un gen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genurile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013F4B9B" w14:textId="4F7B1549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zi“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reprezintă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zi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calendaristică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altfel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74442477" w14:textId="3FEC6DC2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“ 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art. 2 pct. 9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24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iunie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2021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dispoziţiilor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dezvoltare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regională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social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Plus,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coeziune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tranziţie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justă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afaceri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maritime,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pescuit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acvacultură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normelor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financiare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azil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migraţie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integrare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securitate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Instrumentului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sprijin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managementul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frontierelor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politica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vize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(UE) 2021/1.060;</w:t>
      </w:r>
    </w:p>
    <w:p w14:paraId="7537DB0B" w14:textId="6C3B75F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destinatar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final“ are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art. 2 pct. 18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0;</w:t>
      </w:r>
    </w:p>
    <w:p w14:paraId="7ADB3D70" w14:textId="4029009C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f)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relocare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“ are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art. 2 pct. 27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7D0E90C" w14:textId="00093AF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g)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lider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“ are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2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(4) lit. q)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gestionarea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financiară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programare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2021-2027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alocate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României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dezvoltare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regională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coeziune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social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Plus,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tranziţie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justă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348958D6" w14:textId="7D27C47B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h)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trimiterile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normative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normative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subsecvente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1421DDAA" w14:textId="79A9B012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spell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i</w:t>
      </w:r>
      <w:proofErr w:type="spellEnd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oricare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dintre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devine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nulă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invalidă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neexecutabilă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conform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legalitatea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valabilitatea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posibilitatea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executare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celorlalte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rămâne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neafectate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depune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eforturile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realiza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conduce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acelaşi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legal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economic care s-a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avut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vedere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data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încheierii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72418704" w14:textId="7DD4A715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j)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atunci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“ se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înţelege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întregul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lider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);</w:t>
      </w:r>
    </w:p>
    <w:p w14:paraId="56E59080" w14:textId="621ADD4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k)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referire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interpreta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făcută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3FE555A4" w14:textId="3BA777A8" w:rsidR="00A26658" w:rsidRPr="00A26658" w:rsidRDefault="00A26658" w:rsidP="00A26658">
      <w:pPr>
        <w:jc w:val="both"/>
        <w:rPr>
          <w:rStyle w:val="slitbdy"/>
          <w:rFonts w:ascii="Calibri" w:hAnsi="Calibri" w:cs="Calibri"/>
          <w:sz w:val="24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l)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conform </w:t>
      </w:r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2.552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Codul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civil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normative nu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altfel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)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calculează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: </w:t>
      </w:r>
    </w:p>
    <w:p w14:paraId="5C1357EF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(</w:t>
      </w:r>
      <w:proofErr w:type="spellStart"/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i</w:t>
      </w:r>
      <w:proofErr w:type="spellEnd"/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)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împlineşte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ziua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din ultima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ultima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nu are o zi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celei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început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curgă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împlineşte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ultima zi </w:t>
      </w:r>
      <w:proofErr w:type="gram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acestei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;</w:t>
      </w:r>
    </w:p>
    <w:p w14:paraId="6D21401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(ii)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acesta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începe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curgă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ziua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intrării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împlineşte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ora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24.00 din ultima zi;</w:t>
      </w:r>
    </w:p>
    <w:p w14:paraId="2FA5A60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(iii)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calculează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aplicând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regulile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la pct. (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),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curge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continuarea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celui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împlineşte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ora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24.00 din ultima zi;</w:t>
      </w:r>
    </w:p>
    <w:p w14:paraId="00DE257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(iv)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ultima zi 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termenului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o zi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nelucrătoare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consideră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împlinit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sfârşitul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primei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urmează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;</w:t>
      </w:r>
    </w:p>
    <w:p w14:paraId="654F38EA" w14:textId="22A64ED6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m)</w:t>
      </w:r>
      <w:r w:rsidR="00F12014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înţelesul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produce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efecte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reprezintă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cuprinsă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emiterii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închiderii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expirării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asigurat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sustenabilitatea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/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oricare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intervine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ultima.</w:t>
      </w:r>
    </w:p>
    <w:p w14:paraId="2B47532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2.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acordată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stabilită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termenii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.</w:t>
      </w:r>
    </w:p>
    <w:p w14:paraId="6A4EFFC6" w14:textId="77777777" w:rsidR="00A26658" w:rsidRPr="00A26658" w:rsidRDefault="00A26658" w:rsidP="00A26658">
      <w:pPr>
        <w:jc w:val="both"/>
        <w:rPr>
          <w:rStyle w:val="spctbdy"/>
          <w:rFonts w:ascii="Calibri" w:hAnsi="Calibri" w:cs="Calibri"/>
          <w:sz w:val="24"/>
          <w:szCs w:val="24"/>
        </w:rPr>
      </w:pPr>
      <w:r w:rsidRPr="00A26658">
        <w:rPr>
          <w:rStyle w:val="spctttl1"/>
          <w:rFonts w:ascii="Calibri" w:eastAsia="Times New Roman" w:hAnsi="Calibri" w:cs="Calibri"/>
          <w:sz w:val="24"/>
          <w:szCs w:val="24"/>
        </w:rPr>
        <w:t>II.</w:t>
      </w:r>
      <w:r w:rsidRPr="00A26658">
        <w:rPr>
          <w:rFonts w:ascii="Calibri" w:eastAsia="Times New Roman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Condiţii</w:t>
      </w:r>
      <w:proofErr w:type="spellEnd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pctbdy"/>
          <w:rFonts w:ascii="Calibri" w:eastAsia="Times New Roman" w:hAnsi="Calibri" w:cs="Calibri"/>
          <w:sz w:val="24"/>
          <w:szCs w:val="24"/>
        </w:rPr>
        <w:t>generale</w:t>
      </w:r>
      <w:proofErr w:type="spellEnd"/>
    </w:p>
    <w:p w14:paraId="73B736A1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</w:t>
      </w:r>
    </w:p>
    <w:p w14:paraId="56B7A750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Obiectul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</w:p>
    <w:p w14:paraId="5E9A8665" w14:textId="612B234F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="00F12014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reprezintă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(AM) ........,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cod SMIS ....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intitulat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: „.......“,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denumit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integrantă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922C4D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cuprinse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5E5E7A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FF60948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</w:t>
      </w:r>
    </w:p>
    <w:p w14:paraId="6CCEC76D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Durata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</w:p>
    <w:p w14:paraId="53C58A3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produce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C55713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........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[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aaaa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]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[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aaaa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], la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adaugă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desfăşurare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54E5657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prelungită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management,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10,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încadrare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maximă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de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2029.</w:t>
      </w:r>
    </w:p>
    <w:p w14:paraId="7F730E5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produce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închiderii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expirării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intervine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ultima. </w:t>
      </w:r>
    </w:p>
    <w:p w14:paraId="7BFA776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2C362B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Reducerea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calculează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proporţional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/ă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aşa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(5),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sancţionarea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apărute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obţinerea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Legea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142/2012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denumită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CADE3AA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3</w:t>
      </w:r>
    </w:p>
    <w:p w14:paraId="2603AF8D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Valoarea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</w:p>
    <w:p w14:paraId="76726FF0" w14:textId="77777777" w:rsidR="00A26658" w:rsidRPr="00A26658" w:rsidRDefault="00A26658" w:rsidP="00A26658">
      <w:pPr>
        <w:ind w:left="225"/>
        <w:jc w:val="both"/>
        <w:rPr>
          <w:rStyle w:val="spar3"/>
          <w:rFonts w:ascii="Calibri" w:eastAsia="Times New Roman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…….... lei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: 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6"/>
        <w:gridCol w:w="1158"/>
        <w:gridCol w:w="1121"/>
        <w:gridCol w:w="905"/>
        <w:gridCol w:w="874"/>
        <w:gridCol w:w="661"/>
        <w:gridCol w:w="639"/>
        <w:gridCol w:w="1456"/>
        <w:gridCol w:w="1178"/>
      </w:tblGrid>
      <w:tr w:rsidR="00A26658" w:rsidRPr="00A26658" w14:paraId="248F39A2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D417A" w14:textId="77777777" w:rsidR="00A26658" w:rsidRPr="00A26658" w:rsidRDefault="00A26658" w:rsidP="00C666CB">
            <w:pPr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proiectului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inclusiv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TVA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59F65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nerambursabilă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din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partea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fondurilor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(FEDR/FSE+/FC/FTJ)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09066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nerambursabilă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din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bugetul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naţional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0876C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cofinanţare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beneficiar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8296E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proiectului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inclusiv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TVA neeligibil^1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A29B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proiectului</w:t>
            </w:r>
            <w:proofErr w:type="spellEnd"/>
          </w:p>
        </w:tc>
      </w:tr>
      <w:tr w:rsidR="00A26658" w:rsidRPr="00A26658" w14:paraId="528F0DCC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2C1C3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01B5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6FAEE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55A32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212EC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CAAA6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B5DA6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47DB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8FD6D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</w:tr>
      <w:tr w:rsidR="00A26658" w:rsidRPr="00A26658" w14:paraId="618B41E6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124B9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1 =2 + 3 + 4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AB057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BB8F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2^1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4DBBD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EB7FA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3^1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4D540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5D383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4^1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02B93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457DA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6 = 1 + 5</w:t>
            </w:r>
          </w:p>
        </w:tc>
      </w:tr>
      <w:tr w:rsidR="00A26658" w:rsidRPr="00A26658" w14:paraId="191D204F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C107D" w14:textId="77777777" w:rsidR="00A26658" w:rsidRPr="00A26658" w:rsidRDefault="00A26658" w:rsidP="00C666CB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14F8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47F6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957D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B5B0C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0BEF0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9E663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83EB3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A57F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</w:tbl>
    <w:p w14:paraId="0D6D230F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proiectele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implementate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parteneriat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adăuga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paragraful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următor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.)</w:t>
      </w:r>
    </w:p>
    <w:p w14:paraId="2EE6BE4F" w14:textId="77777777" w:rsidR="00A26658" w:rsidRPr="00A26658" w:rsidRDefault="00A26658" w:rsidP="00A26658">
      <w:pPr>
        <w:ind w:left="450"/>
        <w:jc w:val="both"/>
        <w:rPr>
          <w:rStyle w:val="spar3"/>
          <w:rFonts w:ascii="Calibri" w:eastAsia="Times New Roman" w:hAnsi="Calibri" w:cs="Calibri"/>
          <w:sz w:val="24"/>
          <w:szCs w:val="24"/>
        </w:rPr>
      </w:pP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Valoarea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totală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eligibilă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,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respectiv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valoarea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deciziei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finanţare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va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fi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angajată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către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liderul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parteneriat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şi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parteneri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,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baza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Acordului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parteneriat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încheiat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între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beneficiar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şi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parteneri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care se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constituie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anexa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nr. 4 la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prezenta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decizie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,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după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cum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urmează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: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1"/>
        <w:gridCol w:w="1145"/>
        <w:gridCol w:w="998"/>
        <w:gridCol w:w="966"/>
        <w:gridCol w:w="794"/>
        <w:gridCol w:w="767"/>
        <w:gridCol w:w="583"/>
        <w:gridCol w:w="564"/>
        <w:gridCol w:w="1148"/>
        <w:gridCol w:w="1077"/>
      </w:tblGrid>
      <w:tr w:rsidR="00A26658" w:rsidRPr="00A26658" w14:paraId="3594C37C" w14:textId="77777777" w:rsidTr="00C666C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F9797" w14:textId="77777777" w:rsidR="00A26658" w:rsidRPr="00A26658" w:rsidRDefault="00A26658" w:rsidP="00C666CB">
            <w:pPr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Organizaţia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7733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Valoare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proiectului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inclusiv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TVA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BEC62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nerambursabilă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din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partea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fondurilor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(FEDR/FSE+/FC/FTJ)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8388E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nerambursabilă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 xml:space="preserve">din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bugetul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naţional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E67F7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Valoare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cofinanţare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beneficiar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75A6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neeligibilă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 xml:space="preserve">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proiectului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inclusiv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TVA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neeligibil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3FBE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lastRenderedPageBreak/>
              <w:t>Valoarea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a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proiectului</w:t>
            </w:r>
            <w:proofErr w:type="spellEnd"/>
          </w:p>
        </w:tc>
      </w:tr>
      <w:tr w:rsidR="00A26658" w:rsidRPr="00A26658" w14:paraId="4A71B06D" w14:textId="77777777" w:rsidTr="00C666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C46B6" w14:textId="77777777" w:rsidR="00A26658" w:rsidRPr="00A26658" w:rsidRDefault="00A26658" w:rsidP="00C666CB">
            <w:pPr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185B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38FE7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46345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10A16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CB46D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2898C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3926E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5663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04205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(lei)</w:t>
            </w:r>
          </w:p>
        </w:tc>
      </w:tr>
      <w:tr w:rsidR="00A26658" w:rsidRPr="00A26658" w14:paraId="7DCA1C76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A340C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B59CB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1 = 2 + 3 + 4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0ABB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9808D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2^1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5639C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B2EF6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3^1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584A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F1372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4^1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9E444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6D51A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6 = 1 + 5</w:t>
            </w:r>
          </w:p>
        </w:tc>
      </w:tr>
      <w:tr w:rsidR="00A26658" w:rsidRPr="00A26658" w14:paraId="388C3232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2C8C9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Lider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de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parteneriat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DB2D7" w14:textId="77777777" w:rsidR="00A26658" w:rsidRPr="00A26658" w:rsidRDefault="00A26658" w:rsidP="00C666CB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2CA8F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18B5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C708F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70ED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22A3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AA2CD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46100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9FE42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  <w:tr w:rsidR="00A26658" w:rsidRPr="00A26658" w14:paraId="47F3B08E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E8AB1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Partener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1,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dacă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este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cazul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BA30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A5821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3A4E2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9431A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FFD7C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C4B00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60761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5FFE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76828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  <w:tr w:rsidR="00A26658" w:rsidRPr="00A26658" w14:paraId="0FEFA06A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9123F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Partener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n,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dacă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este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cazul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DF2D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A4153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90CD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E0EA4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45318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464F6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1EF68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A51E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5050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  <w:tr w:rsidR="00A26658" w:rsidRPr="00A26658" w14:paraId="2E3BBCEC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9AA11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E4AC7" w14:textId="77777777" w:rsidR="00A26658" w:rsidRPr="00A26658" w:rsidRDefault="00A26658" w:rsidP="00C666CB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7B731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BB93B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DCB9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88B2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ED24D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68ED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3ABA6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CC058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</w:tbl>
    <w:p w14:paraId="44CB721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szCs w:val="24"/>
        </w:rPr>
      </w:pPr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^1 TVA care nu se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încadrează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prevederile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 xml:space="preserve">art. 9 </w:t>
      </w:r>
      <w:proofErr w:type="spellStart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>alin</w:t>
      </w:r>
      <w:proofErr w:type="spellEnd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>. (1)</w:t>
      </w:r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sau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 xml:space="preserve">(2) din </w:t>
      </w:r>
      <w:proofErr w:type="spellStart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>Hotărârea</w:t>
      </w:r>
      <w:proofErr w:type="spellEnd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>Guvernului</w:t>
      </w:r>
      <w:proofErr w:type="spellEnd"/>
      <w:r w:rsidRPr="00A26658">
        <w:rPr>
          <w:rStyle w:val="spar3"/>
          <w:rFonts w:ascii="Calibri" w:eastAsia="Times New Roman" w:hAnsi="Calibri" w:cs="Calibri"/>
          <w:color w:val="0000FF"/>
          <w:sz w:val="24"/>
          <w:szCs w:val="24"/>
          <w:u w:val="single"/>
          <w:specVanish w:val="0"/>
        </w:rPr>
        <w:t xml:space="preserve"> nr. 873/2022</w:t>
      </w:r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pentru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stabilirea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cadrului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legal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privind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eligibilitatea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cheltuielilor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efectuate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beneficiari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cadrul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operaţiunilor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finanţate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în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perioada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programare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2021-2027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prin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Fondul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european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dezvoltare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regională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,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Fondul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social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european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Plus,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Fondul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de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coeziune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şi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Fondul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pentru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o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tranziţie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justă</w:t>
      </w:r>
      <w:proofErr w:type="spellEnd"/>
      <w:r w:rsidRPr="00A26658">
        <w:rPr>
          <w:rStyle w:val="spar3"/>
          <w:rFonts w:ascii="Calibri" w:eastAsia="Times New Roman" w:hAnsi="Calibri" w:cs="Calibri"/>
          <w:sz w:val="24"/>
          <w:szCs w:val="24"/>
          <w:specVanish w:val="0"/>
        </w:rPr>
        <w:t>.</w:t>
      </w:r>
    </w:p>
    <w:p w14:paraId="4BE5AE3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maximă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………………. lei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echivalentă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.........%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55901C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majora,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diferenţa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astfel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suportată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existenţa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normativ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sens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 (8).</w:t>
      </w:r>
    </w:p>
    <w:p w14:paraId="02A5A63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elaborate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MySMIS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Graficul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depunere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3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încărcat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actualizat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</w:t>
      </w:r>
    </w:p>
    <w:p w14:paraId="27E6D9BC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autorizată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tabelul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sus,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(2) se reduce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corespunzător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intensităţii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intervenţiei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fiecărei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subactivităţi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E3BD2E5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4</w:t>
      </w:r>
    </w:p>
    <w:p w14:paraId="3816849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Eligibilitatea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cheltuielilor</w:t>
      </w:r>
      <w:proofErr w:type="spellEnd"/>
    </w:p>
    <w:p w14:paraId="52EA6AAD" w14:textId="77777777" w:rsidR="00A26658" w:rsidRPr="00A26658" w:rsidRDefault="00A26658" w:rsidP="00A26658">
      <w:pPr>
        <w:jc w:val="both"/>
        <w:rPr>
          <w:rStyle w:val="salnbdy"/>
          <w:rFonts w:ascii="Calibri" w:eastAsia="Times New Roman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de: </w:t>
      </w:r>
    </w:p>
    <w:p w14:paraId="060B616B" w14:textId="3D7581BF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A15B53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; </w:t>
      </w:r>
    </w:p>
    <w:p w14:paraId="7DA4EEEE" w14:textId="5E7CA4B1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A15B53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3B6F0EFB" w14:textId="5FFF4165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c)</w:t>
      </w:r>
      <w:r w:rsidR="00A15B53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</w:t>
      </w:r>
    </w:p>
    <w:p w14:paraId="2E9E8A0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cuprinse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1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321F60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reprezintă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implicit,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confirmare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8E828F6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rezervă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declara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moment,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reduceri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procentuale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subzistă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neconformităţile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abaterile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ocazia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încheierii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D78249C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Prevederile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referitoare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mecanismul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prefinanţării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aplică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doar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proiectele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din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programele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regionale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2021-2027.)</w:t>
      </w:r>
    </w:p>
    <w:p w14:paraId="252133D7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5</w:t>
      </w:r>
    </w:p>
    <w:p w14:paraId="05CE774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Mecanismul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prefinanţării</w:t>
      </w:r>
      <w:proofErr w:type="spellEnd"/>
    </w:p>
    <w:p w14:paraId="5CC3A7A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are/au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90393F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19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metodologiei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9509D48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20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metodologiei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4AECD97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Prevederile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referitoare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mecanismul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cererii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plată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aplică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doar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proiectele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din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programele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regionale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2021-2027.)</w:t>
      </w:r>
    </w:p>
    <w:p w14:paraId="6111EC33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6</w:t>
      </w:r>
    </w:p>
    <w:p w14:paraId="079F5246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Rambursarea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/Plata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cheltuielilor</w:t>
      </w:r>
      <w:proofErr w:type="spellEnd"/>
    </w:p>
    <w:p w14:paraId="0623F09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2BD0B9C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regularitatea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174C01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2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sub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rezerva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limita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disponibilităţilor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insuficienţei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alimentate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prelungirea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aceeaşi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2029.</w:t>
      </w:r>
    </w:p>
    <w:p w14:paraId="76FB2626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7</w:t>
      </w:r>
    </w:p>
    <w:p w14:paraId="1BF36530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lastRenderedPageBreak/>
        <w:t>Drepturile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obligaţiile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beneficiarului</w:t>
      </w:r>
      <w:proofErr w:type="spellEnd"/>
    </w:p>
    <w:p w14:paraId="637D984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management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riguros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resurselor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concordanţă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Totodată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are/au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atingerii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obiectivelor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concordanţă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instrucţiunile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448FF8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</w:t>
      </w:r>
      <w:proofErr w:type="gramStart"/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2)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2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(2)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(3).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....... (Se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AM.)...........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2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(2),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rezilierea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F80401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scris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AM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aspectele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survenite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afecteze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buna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furnizat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clauzelor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627FFA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deschide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Trezoreriei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categoria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instituţiilor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indiferent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subordonare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Ceilalţi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opta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deschiderea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Trezoreriei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instituţii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credit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50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(3)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Normele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metodologice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gestionarea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2021-2027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alocate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României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dezvoltare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coeziune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social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Plus,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Hotărârea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829/2022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787C48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are/au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oricărui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alt organism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abilitat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31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(2)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0E8BF3A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(5),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informatice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directă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solicitate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gestiunea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tehnică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suport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hârtie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format electronic,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original.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uşor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accesibile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astfel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permită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lor.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organismele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menţionate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(5)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organismul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abilitat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neîngrădit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A0ED10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încheiate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terţe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părţi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disponibilitatea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referitoare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ocazia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misiunilor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control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desfăşurate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structuri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competenţe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controlul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debitelor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5764D2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are/au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îndosarierii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păstrării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tuturor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original,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copii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piste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audit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adecvate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31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(1)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electronice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potrivit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Legii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135/2007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electronică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republicată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electronică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nivel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categorii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uşor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părţile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misiunilor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audit/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/control. </w:t>
      </w:r>
    </w:p>
    <w:p w14:paraId="767A361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păstrate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închiderea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oficială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expirarea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intervine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ultima.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minim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disponibilităţii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mic de 5 ani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data de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ultima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întrerupe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proceduri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judiciare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fie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Comisiei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82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497B072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(5), (8)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(9),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lipsă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reprezentând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(6),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întreaga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dobânzile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penalizările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31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. 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(4)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0FCE062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încarce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electronic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electronică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extinsă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un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certificat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calificat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nesuspendat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nerevocat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DCF261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propriu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revin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conform art. 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3EF4257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ţină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evidenţă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analitică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analitice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distincte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reflectarea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tuturor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operaţiunilor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referitoare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374EA84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presupune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produse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servicii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domeniul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sectoriale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domeniile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apărării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securităţii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F9AF91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(15)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întocmirii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justificative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însoţesc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753023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6897C9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întocmirii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justificative care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însoţesc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13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 (4).</w:t>
      </w:r>
    </w:p>
    <w:p w14:paraId="037D303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încărca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dosarul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format electronic,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încheierii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procedurii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4B00193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resursele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F3962C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minime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50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Ghidului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vizuală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2021-2027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elaborat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Ministerul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Investiţiilor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sub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sancţiunea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50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(3)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(UE) 2021/1.060.</w:t>
      </w:r>
    </w:p>
    <w:p w14:paraId="7790632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nedatorată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necuvenite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eronat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menţionat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anterior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dobânda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datorată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938EC1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despre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determina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întârzierea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maximum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cunoştinţă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despre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astfel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7C52FC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integral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cauzate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culpa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degrevată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cauzate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pot fi direct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imputabile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2C7AD6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participe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invite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persoanele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sunt implicate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pot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furniza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AM.</w:t>
      </w:r>
    </w:p>
    <w:p w14:paraId="415431C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intermediul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defecţiuni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solicitate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format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tipărit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poştă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electronic,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e-mail,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21.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încărca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respective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calendaristice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restabilirea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funcţionalităţii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60614E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(26)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tuturor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bunurilor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echipamentelor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desfăşurare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aşa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reglementat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2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 (5).</w:t>
      </w:r>
    </w:p>
    <w:p w14:paraId="425BE31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bunurilor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echipamentelor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AM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fapt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puţin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dintr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-un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relocare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A22C92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întreprinde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relocare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înstrăineze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închirieze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bunurile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obţinerii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program,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sustenabilitate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aşa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reglementată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2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(5). </w:t>
      </w:r>
    </w:p>
    <w:p w14:paraId="038BF66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schimba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destinaţia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B786BF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(28)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(29),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respective,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dobânzile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penalizările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5D3A6F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instrucţiunile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3B86A2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corespondenţa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categorii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MySMIS2021.</w:t>
      </w:r>
    </w:p>
    <w:p w14:paraId="34CE3F8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exprimă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stocarea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obţinute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parcursul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clauzelor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766F4B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furnizarea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categorii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date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: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prenumele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naşterii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real/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al/ai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destinatarului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destinatarilor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contractantului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astfel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definit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(6)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Directiva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2015/849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20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2015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spălării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terorismului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nr. 648/2012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abrogare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Directivei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2005/60/CE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Directivei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2006/70/CE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Comisiei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3C68A1C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principiul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DNSH „do no significant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harm“ (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„a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mod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semnificativ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“) pe tot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parcursul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cerinţe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acolo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22AD438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(36)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are/au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decontare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aceleaşi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costuri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multe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surse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C03F5CB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8</w:t>
      </w:r>
    </w:p>
    <w:p w14:paraId="6EF95A97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Drepturile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obligaţiile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AM</w:t>
      </w:r>
    </w:p>
    <w:p w14:paraId="6F1537C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timp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util,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afecta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târziu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adoptării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producând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la care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intermediul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pagina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web a AM.</w:t>
      </w:r>
    </w:p>
    <w:p w14:paraId="1C09E74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concluziile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recomandările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au impact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acestuia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formulate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Comisia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competentă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oficiale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concluzii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recomandări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intermediul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</w:t>
      </w:r>
    </w:p>
    <w:p w14:paraId="42FA266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scris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competenţelor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oricărei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clarificările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consideră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19FD2D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B68A6B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transferul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8D0E38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6.</w:t>
      </w:r>
    </w:p>
    <w:p w14:paraId="40B536C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tehnic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obiectivelor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prevenirii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sens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0302C1B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tuturor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1BCD578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puţin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FA3A0A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control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desfăşoară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audit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control,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ad-hoc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357D40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aspectele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referitoare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/control. </w:t>
      </w:r>
    </w:p>
    <w:p w14:paraId="4B6DFFD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(12)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fiecărei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5FB9E4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reducere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procentuală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emiterii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formulate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existenţa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fraudă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0F43A8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care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existenţa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fraudă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Parchetul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European/DLAF/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urmărire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devenind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incidente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8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66/2011.</w:t>
      </w:r>
    </w:p>
    <w:p w14:paraId="2476F98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sprijină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soluţii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adecvate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buna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034EB23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neîndeplinirii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obiectivă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riscurile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13. </w:t>
      </w:r>
    </w:p>
    <w:p w14:paraId="7D18A8F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despre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închiderii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oficiale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parţiale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intermediul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mijloacelor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61737FE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9</w:t>
      </w:r>
    </w:p>
    <w:p w14:paraId="33CBEC75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Contractarea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cesiunea</w:t>
      </w:r>
      <w:proofErr w:type="spellEnd"/>
    </w:p>
    <w:p w14:paraId="313B0E8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externalizării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revine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cauză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1A962E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decurgând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pot face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cesiunii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parţiale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novaţiei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subrogaţiei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oricărui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mecanism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transmisiune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transformare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1A45110A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10</w:t>
      </w:r>
    </w:p>
    <w:p w14:paraId="66AB7888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Modificări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completări</w:t>
      </w:r>
      <w:proofErr w:type="spellEnd"/>
    </w:p>
    <w:p w14:paraId="5B3BF9A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conveni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încheiat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aceleaşi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6E6873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propunerea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iniţiată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puţin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30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data la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intenţionată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intra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circumstanţelor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acceptate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asemenea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justificative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4DE1E3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maximum 30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interiorul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pot fi solicitate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clarificări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83B4BD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propunerilor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au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reducerea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totală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redusă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proporţional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temeinic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5D9B28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temeinic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6BA1BD3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temeinic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2029. </w:t>
      </w:r>
    </w:p>
    <w:p w14:paraId="36E4528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întemeiate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cuprind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anterior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anterior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parcursul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acoperite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de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2029.</w:t>
      </w:r>
    </w:p>
    <w:p w14:paraId="703EC86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nerambursabilă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majora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numai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propunerea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trimisă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considerate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AM.</w:t>
      </w:r>
    </w:p>
    <w:p w14:paraId="339AFC9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avea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retroactiv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avea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produce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schimbări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aduce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atingere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iniţiale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principiului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tratamentului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egal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solicitanţilor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5BD84F45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unilateral,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1465E8EE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determinate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principal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normativ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aplicabil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principiilor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regulilor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intrării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aduse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normativ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majorării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art. 3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 (4);</w:t>
      </w:r>
    </w:p>
    <w:p w14:paraId="24A5A44A" w14:textId="19CA738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674E91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dezangajare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rămase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neutilizate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finalizării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contractului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contractelor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primirea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sumele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rămase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neutilizate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finalizării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contractelor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nu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face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realocări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</w:t>
      </w:r>
    </w:p>
    <w:p w14:paraId="019C7CB5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care nu face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eligibilitate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6B68ECB7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apărute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identificare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schimbarea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sediului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; </w:t>
      </w:r>
    </w:p>
    <w:p w14:paraId="334E14D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b)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schimbarea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special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deschis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5581E10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înlocuirea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reprezentantului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legal;</w:t>
      </w:r>
    </w:p>
    <w:p w14:paraId="72A3C05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intervenite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subcategoriile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articolele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aceleiaşi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aprobat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condiţionalităţilor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social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Plus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(14) lit. j)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articol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0F166C73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intervenite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graficul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depunere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condiţionalităţilor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Manualul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</w:t>
      </w:r>
    </w:p>
    <w:p w14:paraId="6A4B3D1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Netransmiterea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(11)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atrage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sine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imposibilitatea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clauzelor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3734F8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(11)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aduc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cunoştinţa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sub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sancţiunea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inopozabilităţii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AM.</w:t>
      </w:r>
    </w:p>
    <w:p w14:paraId="59BDF1E3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justificare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adecvată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temeinică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adresată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66F56C20" w14:textId="560F4B20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intervenite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estimat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limita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10%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care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transferă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încadrării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limitele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maxime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limitele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7041FF95" w14:textId="23C1E238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secţiunii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„</w:t>
      </w:r>
      <w:proofErr w:type="spellStart"/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Justificare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“ din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nu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liniei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EF6EFEA" w14:textId="60103EC8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înlocuirea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introducerea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membri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noi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echipa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acolo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unde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525EB65A" w14:textId="6A456096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înlocuirea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managerului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16868C70" w14:textId="029743D8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previzionate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graficului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are impact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cuantumului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duratei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Planului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2C67430" w14:textId="001277C9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f)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îndreptarea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erori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materiale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identificate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52642490" w14:textId="5F8A03FB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g)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corelarea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secţiunilor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66DB7AF5" w14:textId="4CC79A3B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h)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planului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are impact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cuantumului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ai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procedurile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0D08F042" w14:textId="2074A17A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spell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i</w:t>
      </w:r>
      <w:proofErr w:type="spellEnd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actualizării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caracteristicilor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tehnice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echipamentele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dotările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achiziţionate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conduce la o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diminuare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caracteristicilor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tehnice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având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vedere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tehnologic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înregistrat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momentul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scrierii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momentul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lansării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procedurii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afecteze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achiziţiei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AF5D2FE" w14:textId="35638935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j)</w:t>
      </w:r>
      <w:r w:rsidR="00422B3C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intervenite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subcategoriile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articolele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aceleiaşi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bugetului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aprobat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categorie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condiţionalităţilor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Ghidul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solicitantului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Fondul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social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european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Plus.</w:t>
      </w:r>
    </w:p>
    <w:p w14:paraId="33AC2AE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(14)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înregistrarea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interiorul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pot fi solicitate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clarificări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EF67E1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(14)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produce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(15).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trebuie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însoţită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motivele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respingerii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(15). </w:t>
      </w:r>
    </w:p>
    <w:p w14:paraId="01510019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11</w:t>
      </w:r>
    </w:p>
    <w:p w14:paraId="1B7D5F61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Conflictul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interese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incompatibilităţi</w:t>
      </w:r>
      <w:proofErr w:type="spellEnd"/>
    </w:p>
    <w:p w14:paraId="33C0CAB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Reprezintă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conflict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definită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062E39A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întreprindă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diligenţele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conflict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definită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europeană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reciproc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celeritate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eventualelor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conflict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potenţială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consumată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66638A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conflictului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conform art. 61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(UE, Euratom) 2018/1.046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18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iulie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2018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normele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financiare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bugetului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general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Uniunii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Regulamentelor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nr. 1.296/2013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1.301/2013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1.303/2013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1.304/2013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1.309/2013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1.316/2013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223/2014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(UE) nr. 283/2014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541/2014/UE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abrogare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(UE, Euratom) nr. 966/2012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10-16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reglementări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A977E3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categoria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subiecţilor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public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Legii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161/2003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transparenţei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exercitarea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demnităţilor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afaceri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sancţionarea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corupţiei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materia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conflictului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0D1368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entitate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contractantă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referitoare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conflictul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domeniul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sectoriale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524D3B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nu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entitate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contractantă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referitoare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conflictul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art. 14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15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celelalte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0DC1AFC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întreprindă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diligenţele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/conflict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decursul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reciproc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maximum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cunoştinţă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naştere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posibil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naştere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astfel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703EBC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(8)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menţionate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(1)-(7)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subcontractorilor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furnizorilor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angajaţilor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angajaţilor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implicaţi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C79B81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rezervă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naştere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posibile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naştere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incompatibilitate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conflict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impuse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4973E8B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12</w:t>
      </w:r>
    </w:p>
    <w:p w14:paraId="39471038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Nereguli</w:t>
      </w:r>
      <w:proofErr w:type="spellEnd"/>
    </w:p>
    <w:p w14:paraId="7646173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sancţionarea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neregulilor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9F6C31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abateri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domeniul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sectoriale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achiziţiile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AA76FA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Parchetului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European/ DLAF/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organelor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urmărire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fraudă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procurorul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trimiterea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judecată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instanţa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rămânerea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definitivă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hotărârii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instanţei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judecată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solicitate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economice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componentei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formulată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sesizarea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</w:p>
    <w:p w14:paraId="547202F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(3),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subsecventă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prelungirii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depăşească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de 31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decembrie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2029.</w:t>
      </w:r>
    </w:p>
    <w:p w14:paraId="34E9E17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virate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nejustificate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neeligibile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5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cinci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nerestituirii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anterior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menţionat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66/2011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B7BF44B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13</w:t>
      </w:r>
    </w:p>
    <w:p w14:paraId="2D579519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Monitorizare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raportare</w:t>
      </w:r>
      <w:proofErr w:type="spellEnd"/>
    </w:p>
    <w:p w14:paraId="13FFAE3C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face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52CBF895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760C3C39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urmărirea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validarea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justificative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transmise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constatărilor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teren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ocazia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vizitelor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E6F5D9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b)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verificarea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rapoartelor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elaborate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disponibile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MySMIS2021,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justificative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însoţesc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raportul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urmăririi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progresului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stadiului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realizare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165CEC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vizite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verifica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progresul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fizic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stadiul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realizării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59BB9F1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vizite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teren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postimplementare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asigura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sustenabilitatea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durabilitatea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caracterul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durabil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operaţiunilor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</w:t>
      </w:r>
    </w:p>
    <w:p w14:paraId="0DD2D833" w14:textId="4402ADAA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="00E01020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furniza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necesare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elaborează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frecvenţă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........(Se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indica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fiecărui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fiecărei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program/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priorităţi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</w:t>
      </w:r>
      <w:proofErr w:type="spellEnd"/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.)............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CBCE1C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generează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MySMIS2021/SMIS2021+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30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52DC963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confirma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893A2D2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întreprinde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sprijinire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posibile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remediere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urmăreşte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atingerea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activităţile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consolidate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riscurile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buna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vigoare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2DA338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nerealizării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la termen,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adoptă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riscurile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consolidată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7F852DC" w14:textId="35CD1EBC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(8)</w:t>
      </w:r>
      <w:r w:rsidR="00E01020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consolidate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una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multe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cheltuielile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solicitate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repetate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depunere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conduce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apariţia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decalaje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fizic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nivelul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ţintelor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stadiul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: ..........(Se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preciza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fiecare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AM.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.)............</w:t>
      </w:r>
    </w:p>
    <w:p w14:paraId="5C8F82F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(9)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elaborează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generează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Raportul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include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recomandări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adresate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obligatorii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89FFB5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(10)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recomandărilor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rapoartelor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vizitelor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C790274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indicator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neîndeplinirii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celorlalţi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Planul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actualizat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aprobate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consolidate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analiza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obiectivă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riscurile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identificate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măsuri^2:</w:t>
      </w:r>
    </w:p>
    <w:p w14:paraId="4960068A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^2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Aceste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prevederi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sunt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detaliate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Condiţiile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specifice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</w:t>
      </w:r>
    </w:p>
    <w:p w14:paraId="03E7B347" w14:textId="1920F32F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lastRenderedPageBreak/>
        <w:t>a)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întreruperea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survină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art. 74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(1) lit. b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6AD567C8" w14:textId="201E003B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respingerea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tot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25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(5)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133/2021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au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transmise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dovezile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lit. a);</w:t>
      </w:r>
    </w:p>
    <w:p w14:paraId="17FB5E51" w14:textId="39FBAD1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penalităţi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întârziere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procent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resurselor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financiare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raportat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procent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limita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5%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eligibilă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neîndeplinirii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3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consecutivi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motive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imputabile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liderului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15E0A3E" w14:textId="072BA359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suspendarea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până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cauzelor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obiective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afectează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derularea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atingerea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FBBA492" w14:textId="302640F5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rezilierea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AM,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CA549C8" w14:textId="4696D69D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f)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regulamentele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: ........(Se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preciza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fiecare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proofErr w:type="gram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.)......</w:t>
      </w:r>
      <w:proofErr w:type="gramEnd"/>
    </w:p>
    <w:p w14:paraId="7C0C6833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(11)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30677F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nerealizării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decurs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6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din motive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imputabile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întârzieri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semnificative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afectează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substanţial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imposibilă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obiectivelor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atingerea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rezilierea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deja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A354048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14</w:t>
      </w:r>
    </w:p>
    <w:p w14:paraId="57EFE62B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Forţa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majoră</w:t>
      </w:r>
      <w:proofErr w:type="spellEnd"/>
    </w:p>
    <w:p w14:paraId="295DF29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înţelege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eveniment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extern,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imprevizibil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absolut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invincibil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inevitabil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intervenit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împiedică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exonerează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invocă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competentă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42F4A3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cauze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evenimente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fi: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crize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medicale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pandemice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calamităţile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naturale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cutremure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inundaţii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alunecări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teren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război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revoluţie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embargou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enumerarea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nefiind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exhaustivă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considerat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eveniment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eveniment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asemenea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sus,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imposibilitate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face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extrem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costisitoare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53EF9E4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invocă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/AM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apariţiei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dovedi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existenţa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baza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document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eliberat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competentă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mult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15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acestuia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mod similar,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situaţiei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scris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termen de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intervenirea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C059ED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limitării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consecinţelor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EAB26B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structura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invocă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procedează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suporta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daunele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provocate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celeilalte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structuri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lipsa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6F95CC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apariţiei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acţiune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prejudicia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cuvin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anterior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apariţiei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77690266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(7)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suspendată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mare de 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demonstra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devenit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imposibilă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întâlni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-un termen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mult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10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expirarea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3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la data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constatării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imposibilităţii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conveni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înţelegere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continuare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materializează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dintre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aceştia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celeilalte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structuri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mod unilateral,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formalităţi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dreptul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despăgubiri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28E0788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15</w:t>
      </w:r>
    </w:p>
    <w:p w14:paraId="6DC3A546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Încetarea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recuperarea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sumelor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plătite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urmare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unor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nereguli</w:t>
      </w:r>
      <w:proofErr w:type="spellEnd"/>
    </w:p>
    <w:p w14:paraId="05A86977" w14:textId="77777777" w:rsidR="00A26658" w:rsidRPr="00A26658" w:rsidRDefault="00A26658" w:rsidP="00A26658">
      <w:pPr>
        <w:jc w:val="both"/>
        <w:rPr>
          <w:rStyle w:val="salnbdy"/>
          <w:rFonts w:ascii="Calibri" w:eastAsia="Times New Roman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decide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rezilierea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reziliere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fără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intervenţia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instanţei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oricăror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formalităţi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recuperarea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integrală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plătite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dobânzilor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penalităţilor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potrivit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28E2B799" w14:textId="23B4162F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situaţia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început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potrivit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art. 7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(2)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1CAA395B" w14:textId="4EC3D80C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încalcă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prevederile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art. 9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(2)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9672A8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neîndeplinirii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etapă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art. 13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(11) lit. e)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. (13)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15D862E7" w14:textId="4A442F6E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recomandările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acţiunile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corective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rapoartele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vizită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faţa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locului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rapoartele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recomandările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Autorităţii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Audit,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Curţii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Conturi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Comisiei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auditului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Comisiei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Curţii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Conturi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termenele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</w:t>
      </w:r>
    </w:p>
    <w:p w14:paraId="2956FF2D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reziliere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individualizează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sumele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exprimate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moneda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titlu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creanţă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988313A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dintre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restituirii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8D5234F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solicita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nici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nici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început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3B8721B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16</w:t>
      </w:r>
    </w:p>
    <w:p w14:paraId="45FE3892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Soluţionarea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litigiilor</w:t>
      </w:r>
      <w:proofErr w:type="spellEnd"/>
    </w:p>
    <w:p w14:paraId="44CD0CCF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AM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depune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toate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eforturile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rezolva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pe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amiabilă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orice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neînţelegere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sau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dispută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care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poate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apărea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între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cadrul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sau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legătură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îndeplinirea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prezentei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</w:t>
      </w:r>
    </w:p>
    <w:p w14:paraId="09713DE4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lastRenderedPageBreak/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17</w:t>
      </w:r>
    </w:p>
    <w:p w14:paraId="585FFB64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Transparenţă</w:t>
      </w:r>
      <w:proofErr w:type="spellEnd"/>
    </w:p>
    <w:p w14:paraId="753C019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sale,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vizând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executarea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public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Legii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544/2001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liberul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acces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interes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public,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A151A81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elemente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aşa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notificările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aduc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sale, nu pot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avea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confidenţial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36A68009" w14:textId="34DC7E75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completă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aceştia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există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data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începere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finalizare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date de contact - minimum o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e-mail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număr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telefon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funcţionale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echipa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;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locul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localitate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judeţ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regiune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include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adresează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publicului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exactă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contact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spaţiile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dedicate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2C8AA373" w14:textId="09EC0CC6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totală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finanţării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nerambursabile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acordate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intensitatea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sprijinului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exprimate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sumă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concretă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procent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totalul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cheltuielilor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eligibile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prioritate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specific,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/cod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apel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cod SMIS;</w:t>
      </w:r>
    </w:p>
    <w:p w14:paraId="5DAD45DF" w14:textId="3FB2B93C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dimensiunea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caracteristicile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grupului-ţintă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finali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ai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5B5E66B5" w14:textId="4678FA3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resursele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umane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: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postului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timpul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lucru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F9720C5" w14:textId="2A237AB4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estimate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realizate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atât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obiectivelor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cât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corespunzătoare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activităţilor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referire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indicatorii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stabiliţi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73D0F86F" w14:textId="2E270EC1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f)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denumirea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furnizorilor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produse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prestatorilor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servicii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executanţilor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lucrări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contractaţi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valoarea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plăţile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efectuate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32D7B67B" w14:textId="2B6DC0E8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g)</w:t>
      </w:r>
      <w:r w:rsidR="00E01020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elemente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sustenabilitate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rezultatelor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conform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conform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art. 65 din </w:t>
      </w:r>
      <w:proofErr w:type="spellStart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lit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</w:t>
      </w:r>
    </w:p>
    <w:p w14:paraId="188065C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serie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adiţionale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aduc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sale,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site-ul AM,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49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. (3)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(4)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0CD35A6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18</w:t>
      </w:r>
    </w:p>
    <w:p w14:paraId="2B8FD72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Confidenţialitate</w:t>
      </w:r>
      <w:proofErr w:type="spellEnd"/>
    </w:p>
    <w:p w14:paraId="483ECA3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convin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existenţei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duratei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confidenţial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secţiunilor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căror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aduce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atingere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principiului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concurenţei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loiale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proprietăţii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intelectuale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BDF826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înţeleg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utilizeze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a-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389AA9FF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exoneraţi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răspunderea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dezvăluirea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confidenţiale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207869CA" w14:textId="366BFB73" w:rsidR="00A26658" w:rsidRPr="00A26658" w:rsidRDefault="00A26658" w:rsidP="00A26658">
      <w:pPr>
        <w:jc w:val="both"/>
        <w:rPr>
          <w:rStyle w:val="slitbdy"/>
          <w:rFonts w:ascii="Calibri" w:hAnsi="Calibri" w:cs="Calibri"/>
          <w:sz w:val="24"/>
          <w:szCs w:val="24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r w:rsidR="00DC466D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dezvăluită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obţinut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scris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celeilalte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structuri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asemenea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dezvăluire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67F2F2B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lastRenderedPageBreak/>
        <w:t>sau</w:t>
      </w:r>
      <w:proofErr w:type="spellEnd"/>
    </w:p>
    <w:p w14:paraId="184154B9" w14:textId="77777777" w:rsidR="00A26658" w:rsidRPr="00A26658" w:rsidRDefault="00A26658" w:rsidP="00A26658">
      <w:pPr>
        <w:jc w:val="both"/>
        <w:rPr>
          <w:rStyle w:val="slitbdy"/>
          <w:rFonts w:ascii="Calibri" w:eastAsia="Times New Roman" w:hAnsi="Calibri" w:cs="Calibri"/>
          <w:sz w:val="24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structura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obligată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/au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fost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obligaţi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mod legal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dezvăluie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1D5BF75B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sau</w:t>
      </w:r>
      <w:proofErr w:type="spellEnd"/>
    </w:p>
    <w:p w14:paraId="6C2D0FBC" w14:textId="679A380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r w:rsidR="00DC466D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informaţia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devine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notorie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publică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.</w:t>
      </w:r>
    </w:p>
    <w:p w14:paraId="17C1898C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19</w:t>
      </w:r>
    </w:p>
    <w:p w14:paraId="76C68936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Protecţia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datelor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caracter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personal</w:t>
      </w:r>
    </w:p>
    <w:p w14:paraId="398AD62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exprimă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stocarea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arhivarea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rezultate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parcursul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derulării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încetarea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verificării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respectării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clauzelor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1E4661A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reprezintă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acord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ferm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gestionarea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personal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primite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vederea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îndeplinirii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asumate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art. 4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2016/679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27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aprilie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2016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protecţia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persoanelor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fizice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personal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libera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circulaţie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abrogare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Directivei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95/46/CE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general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protecţia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Legea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190/2018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punere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2016/679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Parlamentului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European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Consiliului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27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aprilie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2016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protecţia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persoanelor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fizice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personal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libera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circulaţie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abrogare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Directivei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95/46/CE (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general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protecţia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),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modificările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ulterioare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D1BE73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personal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grupului-ţintă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finali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resurselor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umane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subcontractanţilor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pot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decât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prealabilă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scopului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publicării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obţinerea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consimţământului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acestora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02828D71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interoperabilitate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schimbul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date,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prelucrarea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caracter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personal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către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autorităţile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implicate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gestionarea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temeiul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art. 4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Regulamentul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(UE) 2021/1.060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limitele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exercitarea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responsabilităţilor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atribuţiilor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revin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managementul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politicii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coeziune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2021-2027, care fac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obiectul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Ordonanţei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23/2023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instituirea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măsuri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simplificare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digitalizare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gestionarea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fondurilor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Politicii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coeziune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2021-2027.</w:t>
      </w:r>
    </w:p>
    <w:p w14:paraId="6578D4B5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20</w:t>
      </w:r>
    </w:p>
    <w:p w14:paraId="6785077C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Publicarea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datelor</w:t>
      </w:r>
      <w:proofErr w:type="spellEnd"/>
    </w:p>
    <w:p w14:paraId="757D07D2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situaţia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care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informaţiile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la art. 17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alin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. (2)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reprezintă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informaţii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caracter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personal,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beneficiarul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liderul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parteneriat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partenerii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acordul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cu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privire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publicarea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acestora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face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dovada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îndeplinirii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obligaţiei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prevăzute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art. 19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alin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. (2)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(3) din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prezenta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</w:t>
      </w:r>
    </w:p>
    <w:p w14:paraId="58A1F315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21</w:t>
      </w:r>
    </w:p>
    <w:p w14:paraId="57F746C4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Comunicarea</w:t>
      </w:r>
      <w:proofErr w:type="spellEnd"/>
    </w:p>
    <w:p w14:paraId="4462BAC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Întreaga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comunicare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dintre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face,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scris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exclusiv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</w:t>
      </w:r>
    </w:p>
    <w:p w14:paraId="1AA320A8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mod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excepţional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eventualitatea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majoră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funcţionării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defectuoase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MySMIS2021/SMIS2021+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întreruperii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legăturii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depăşeşte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o zi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ultima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săptămână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termenul-limită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obligatoriu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timp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5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zile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lucrătoare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consecutive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perioade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schimbul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poate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avea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loc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e-mail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pe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suport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hârtie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adrese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7F289CC0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: ...........................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poştală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e-mail);</w:t>
      </w:r>
    </w:p>
    <w:p w14:paraId="54127C24" w14:textId="77777777" w:rsidR="00A26658" w:rsidRPr="00A26658" w:rsidRDefault="00A26658" w:rsidP="00A26658">
      <w:pPr>
        <w:jc w:val="both"/>
        <w:rPr>
          <w:rStyle w:val="slitbdy"/>
          <w:rFonts w:ascii="Calibri" w:hAnsi="Calibri" w:cs="Calibri"/>
          <w:sz w:val="24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pentru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AM: ..........................................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inclusiv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poştală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adresă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e-mail).</w:t>
      </w:r>
    </w:p>
    <w:p w14:paraId="64315DCC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AM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poate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comunica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precizări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referitoare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la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modele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formate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formulare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care pot fi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utilizate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aplicarea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prevederilor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prezentei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</w:t>
      </w:r>
    </w:p>
    <w:p w14:paraId="54E84A74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22</w:t>
      </w:r>
    </w:p>
    <w:p w14:paraId="6E7D1AD5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Legea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aplicabilă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limba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utilizată</w:t>
      </w:r>
      <w:proofErr w:type="spellEnd"/>
    </w:p>
    <w:p w14:paraId="507B3D4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guvernează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această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conformitate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interpretată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română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regulamentele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direct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2EB068B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Limba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limba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română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D66C0FD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23</w:t>
      </w:r>
    </w:p>
    <w:p w14:paraId="5A06701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Anexele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</w:p>
    <w:p w14:paraId="4408104E" w14:textId="77777777" w:rsidR="00A26658" w:rsidRPr="00A26658" w:rsidRDefault="00A26658" w:rsidP="00A26658">
      <w:pPr>
        <w:jc w:val="both"/>
        <w:rPr>
          <w:rStyle w:val="salnbdy"/>
          <w:rFonts w:ascii="Calibri" w:eastAsia="Times New Roman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Următoarele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sunt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integrantă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gram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</w:t>
      </w:r>
      <w:proofErr w:type="gram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acesteia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având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aceeaşi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juridică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:</w:t>
      </w:r>
    </w:p>
    <w:p w14:paraId="04665F46" w14:textId="77777777" w:rsidR="00A26658" w:rsidRPr="00A26658" w:rsidRDefault="00A26658" w:rsidP="00A26658">
      <w:pPr>
        <w:jc w:val="both"/>
        <w:rPr>
          <w:rFonts w:ascii="Calibri" w:hAnsi="Calibri" w:cs="Calibri"/>
          <w:szCs w:val="24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a)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anexa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nr. 1 -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Cererea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6661B93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b)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anexa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nr. 2 -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Planul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monitorizare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4E0BB3C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c)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nr. 3 -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Graficul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cererilor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prefinanţare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/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plată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rambursare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;</w:t>
      </w:r>
    </w:p>
    <w:p w14:paraId="31FC7445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d)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nr. 4 -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Acordul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încheiat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între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liderul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parteneri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);</w:t>
      </w:r>
    </w:p>
    <w:p w14:paraId="3D053D87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proofErr w:type="gramStart"/>
      <w:r w:rsidRPr="00A26658">
        <w:rPr>
          <w:rStyle w:val="slitttl1"/>
          <w:rFonts w:ascii="Calibri" w:eastAsia="Times New Roman" w:hAnsi="Calibri" w:cs="Calibri"/>
          <w:sz w:val="24"/>
          <w:szCs w:val="24"/>
          <w:specVanish w:val="0"/>
        </w:rPr>
        <w:t>e)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anexa</w:t>
      </w:r>
      <w:proofErr w:type="spellEnd"/>
      <w:proofErr w:type="gram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nr. 5 -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Condiţii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(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dacă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cazul</w:t>
      </w:r>
      <w:proofErr w:type="spellEnd"/>
      <w:r w:rsidRPr="00A26658">
        <w:rPr>
          <w:rStyle w:val="slitbdy"/>
          <w:rFonts w:ascii="Calibri" w:eastAsia="Times New Roman" w:hAnsi="Calibri" w:cs="Calibri"/>
          <w:sz w:val="24"/>
          <w:szCs w:val="24"/>
        </w:rPr>
        <w:t>).</w:t>
      </w:r>
    </w:p>
    <w:p w14:paraId="0D16424E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3, 4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5 au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formatul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stabilit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funcţie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programului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sau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apelului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9FA7125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24</w:t>
      </w:r>
    </w:p>
    <w:p w14:paraId="07D364DF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Clauze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rezolutorii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şi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suspensive</w:t>
      </w:r>
    </w:p>
    <w:p w14:paraId="53D17CFA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.................................................................................................</w:t>
      </w:r>
    </w:p>
    <w:p w14:paraId="26B464FA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este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cazul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vor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stabili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către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AM la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nivel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apel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proiecte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.)</w:t>
      </w:r>
    </w:p>
    <w:p w14:paraId="7192A2B5" w14:textId="77777777" w:rsidR="00A26658" w:rsidRPr="00A26658" w:rsidRDefault="00A26658" w:rsidP="00A26658">
      <w:pPr>
        <w:pStyle w:val="sartttl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Articolul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25</w:t>
      </w:r>
    </w:p>
    <w:p w14:paraId="2178FC6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Dispoziţii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finale</w:t>
      </w:r>
    </w:p>
    <w:p w14:paraId="3978D969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(1)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generale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adoptate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conducătorului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AM, care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constituie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nr. 5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C3955A0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(2)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completează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detaliază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generale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6E96DC13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lastRenderedPageBreak/>
        <w:t>(3)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prevalează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faţă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generale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precum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asupra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celorlalte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anexe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nu pot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conţine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contrare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legislaţiei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naţionale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aplicabile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C85B5F8" w14:textId="77777777" w:rsidR="00A26658" w:rsidRPr="00A26658" w:rsidRDefault="00A26658" w:rsidP="00A26658">
      <w:pPr>
        <w:jc w:val="both"/>
        <w:rPr>
          <w:rStyle w:val="salnbdy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(4)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buna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management al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pune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dispoziţia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liderului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parteneriat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partenerilor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după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caz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Manualul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prevederilor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16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23/2023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20A2C8A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>(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este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cazul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.)</w:t>
      </w:r>
    </w:p>
    <w:p w14:paraId="1FF99008" w14:textId="77777777" w:rsidR="00A26658" w:rsidRPr="00A26658" w:rsidRDefault="00A26658" w:rsidP="00A26658">
      <w:pPr>
        <w:jc w:val="both"/>
        <w:rPr>
          <w:rFonts w:ascii="Calibri" w:eastAsia="Times New Roman" w:hAnsi="Calibri" w:cs="Calibri"/>
          <w:color w:val="000000"/>
          <w:szCs w:val="24"/>
          <w:shd w:val="clear" w:color="auto" w:fill="FFFFFF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(5)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care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lansarea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apelurilor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emiterea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realizează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înainte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operaţionalizarea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modulelor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specifice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ale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MySMIS2021/SMIS2021+,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apelurile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operaţiunile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a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derulate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MySMIS2021/SMIS2021+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vor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fi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derulate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informatic MySMIS2014/SMIS2014+,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urmând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ca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asigure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cu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sprijinul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unităţii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coordonare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SMIS din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cadrul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Ministerului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Investiţiilor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Europene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transferul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informaţiilor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documentelor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aferente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proiectelor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depuse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selectate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/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implementare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MySMIS2021/SMIS2021+,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condiţiile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prevăzute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la </w:t>
      </w:r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art. 3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alin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. (10) din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Ordonanţa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urgenţă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a </w:t>
      </w:r>
      <w:proofErr w:type="spellStart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>Guvernului</w:t>
      </w:r>
      <w:proofErr w:type="spellEnd"/>
      <w:r w:rsidRPr="00A26658">
        <w:rPr>
          <w:rStyle w:val="salnbdy"/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nr. 23/2023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.</w:t>
      </w:r>
    </w:p>
    <w:p w14:paraId="44174E0F" w14:textId="77777777" w:rsidR="00A26658" w:rsidRPr="00A26658" w:rsidRDefault="00A26658" w:rsidP="00A26658">
      <w:pPr>
        <w:ind w:left="225"/>
        <w:jc w:val="both"/>
        <w:rPr>
          <w:rStyle w:val="spar3"/>
          <w:rFonts w:ascii="Calibri" w:hAnsi="Calibri" w:cs="Calibri"/>
          <w:sz w:val="24"/>
          <w:szCs w:val="24"/>
        </w:rPr>
      </w:pPr>
      <w:r w:rsidRPr="00A26658">
        <w:rPr>
          <w:rStyle w:val="salnttl1"/>
          <w:rFonts w:ascii="Calibri" w:eastAsia="Times New Roman" w:hAnsi="Calibri" w:cs="Calibri"/>
          <w:sz w:val="24"/>
          <w:szCs w:val="24"/>
          <w:specVanish w:val="0"/>
        </w:rPr>
        <w:t>(6)</w:t>
      </w:r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Prezenta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decizie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de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finanţare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se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emite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într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-un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singur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exemplar,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semnată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electronic de AM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beneficiar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şi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este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transmisă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prin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>sistemul</w:t>
      </w:r>
      <w:proofErr w:type="spellEnd"/>
      <w:r w:rsidRPr="00A26658">
        <w:rPr>
          <w:rStyle w:val="salnbdy"/>
          <w:rFonts w:ascii="Calibri" w:eastAsia="Times New Roman" w:hAnsi="Calibri" w:cs="Calibri"/>
          <w:sz w:val="24"/>
          <w:szCs w:val="24"/>
        </w:rPr>
        <w:t xml:space="preserve"> MySMIS2021.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8"/>
        <w:gridCol w:w="3878"/>
      </w:tblGrid>
      <w:tr w:rsidR="00A26658" w:rsidRPr="00A26658" w14:paraId="1A1C35D9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A7668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Pentru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Autoritatea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de management </w:t>
            </w:r>
          </w:p>
          <w:p w14:paraId="0B3D4F46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Numele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 ..................................................</w:t>
            </w:r>
          </w:p>
          <w:p w14:paraId="4A16DB97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Funcţia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 ...................................................</w:t>
            </w:r>
          </w:p>
          <w:p w14:paraId="69F2FB4E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Semnătura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  <w:p w14:paraId="299FDC2B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Data: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E289F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Pentru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beneficiar</w:t>
            </w:r>
            <w:proofErr w:type="spellEnd"/>
          </w:p>
          <w:p w14:paraId="23F95526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Numele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 .................................................</w:t>
            </w:r>
          </w:p>
          <w:p w14:paraId="2F44502C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Funcţia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 ..................................................</w:t>
            </w:r>
          </w:p>
          <w:p w14:paraId="6AC478C1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Semnătura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  <w:p w14:paraId="0E597CFA" w14:textId="77777777" w:rsidR="00A26658" w:rsidRPr="00A26658" w:rsidRDefault="00A26658" w:rsidP="00C666CB">
            <w:pPr>
              <w:pStyle w:val="spar1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Data:</w:t>
            </w:r>
          </w:p>
        </w:tc>
      </w:tr>
    </w:tbl>
    <w:p w14:paraId="474A940F" w14:textId="77777777" w:rsidR="00A26658" w:rsidRPr="00A26658" w:rsidRDefault="00A26658" w:rsidP="00A26658">
      <w:pPr>
        <w:pStyle w:val="sporden"/>
        <w:jc w:val="both"/>
        <w:rPr>
          <w:rFonts w:ascii="Calibri" w:hAnsi="Calibri" w:cs="Calibri"/>
          <w:sz w:val="24"/>
          <w:szCs w:val="24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nr. 1. -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Cererea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finanţare</w:t>
      </w:r>
      <w:proofErr w:type="spellEnd"/>
    </w:p>
    <w:p w14:paraId="131ECF34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(Se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ataşează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cererea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aprobată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.)</w:t>
      </w:r>
    </w:p>
    <w:p w14:paraId="1FFFC9DF" w14:textId="77777777" w:rsidR="00A26658" w:rsidRPr="00A26658" w:rsidRDefault="00A26658" w:rsidP="00A26658">
      <w:pPr>
        <w:pStyle w:val="sporden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nr. 2. - Plan de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monitorizare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- format-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cadru</w:t>
      </w:r>
      <w:proofErr w:type="spellEnd"/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940"/>
        <w:gridCol w:w="1756"/>
        <w:gridCol w:w="939"/>
        <w:gridCol w:w="828"/>
        <w:gridCol w:w="892"/>
        <w:gridCol w:w="1597"/>
        <w:gridCol w:w="1032"/>
        <w:gridCol w:w="1032"/>
      </w:tblGrid>
      <w:tr w:rsidR="00A26658" w:rsidRPr="00A26658" w14:paraId="384DAA0E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02A88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Nr. </w:t>
            </w: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crt</w:t>
            </w:r>
            <w:proofErr w:type="spellEnd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C77ED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Indicator </w:t>
            </w:r>
          </w:p>
          <w:p w14:paraId="07B194BF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etapă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/</w:t>
            </w:r>
          </w:p>
          <w:p w14:paraId="42A4081A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Cod indicator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7A770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Tip indicator </w:t>
            </w:r>
          </w:p>
          <w:p w14:paraId="513F2CEF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etapă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calitativ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/</w:t>
            </w:r>
          </w:p>
          <w:p w14:paraId="7FAB9DF8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cantitativ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/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valoric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8286E" w14:textId="77777777" w:rsidR="00A26658" w:rsidRPr="00A26658" w:rsidRDefault="00A26658" w:rsidP="00C666CB">
            <w:pPr>
              <w:jc w:val="both"/>
              <w:rPr>
                <w:rFonts w:ascii="Calibri" w:eastAsia="Times New Roman" w:hAnsi="Calibri" w:cs="Calibri"/>
                <w:color w:val="000000"/>
                <w:szCs w:val="24"/>
              </w:rPr>
            </w:pPr>
            <w:proofErr w:type="spellStart"/>
            <w:r w:rsidRPr="00A26658">
              <w:rPr>
                <w:rFonts w:ascii="Calibri" w:eastAsia="Times New Roman" w:hAnsi="Calibri" w:cs="Calibri"/>
                <w:color w:val="000000"/>
                <w:szCs w:val="24"/>
              </w:rPr>
              <w:t>Descriere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3EF30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Criteriu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464BB537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validare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3E256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Termen </w:t>
            </w:r>
          </w:p>
          <w:p w14:paraId="35BEDD00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realizare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12815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Documente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/</w:t>
            </w:r>
          </w:p>
          <w:p w14:paraId="56DB9AB9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Dovezi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care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probează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îndeplinirea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criteriilor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B9707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Ţintă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finală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- indicator </w:t>
            </w:r>
          </w:p>
          <w:p w14:paraId="3A6DCFFE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realizare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1250F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Ţintă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finală</w:t>
            </w:r>
            <w:proofErr w:type="spellEnd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- indicator </w:t>
            </w:r>
          </w:p>
          <w:p w14:paraId="6F87657F" w14:textId="77777777" w:rsidR="00A26658" w:rsidRPr="00A26658" w:rsidRDefault="00A26658" w:rsidP="00C666CB">
            <w:pPr>
              <w:pStyle w:val="spar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 </w:t>
            </w:r>
            <w:proofErr w:type="spellStart"/>
            <w:r w:rsidRPr="00A26658">
              <w:rPr>
                <w:rFonts w:ascii="Calibri" w:hAnsi="Calibri" w:cs="Calibri"/>
                <w:color w:val="000000"/>
                <w:sz w:val="24"/>
                <w:szCs w:val="24"/>
              </w:rPr>
              <w:t>rezultat</w:t>
            </w:r>
            <w:proofErr w:type="spellEnd"/>
          </w:p>
        </w:tc>
      </w:tr>
      <w:tr w:rsidR="00A26658" w:rsidRPr="00A26658" w14:paraId="65A36425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1AABD" w14:textId="77777777" w:rsidR="00A26658" w:rsidRPr="00A26658" w:rsidRDefault="00A26658" w:rsidP="00C666CB">
            <w:pPr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FCB5D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952D3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B50A8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1F500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0F524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92E8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B0A0C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D44C1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  <w:tr w:rsidR="00A26658" w:rsidRPr="00A26658" w14:paraId="05959680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5DCF2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A134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2125C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73A8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CFE20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DC433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CC9AB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18999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8A2AD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  <w:tr w:rsidR="00A26658" w:rsidRPr="00A26658" w14:paraId="13C1FA57" w14:textId="77777777" w:rsidTr="00C666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B6332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965E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84376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0E434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F6CAA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8A46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8CE4E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F3E9B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1A9F5" w14:textId="77777777" w:rsidR="00A26658" w:rsidRPr="00A26658" w:rsidRDefault="00A26658" w:rsidP="00C666CB">
            <w:pPr>
              <w:rPr>
                <w:rFonts w:ascii="Calibri" w:eastAsia="Times New Roman" w:hAnsi="Calibri" w:cs="Calibri"/>
                <w:szCs w:val="24"/>
              </w:rPr>
            </w:pPr>
          </w:p>
        </w:tc>
      </w:tr>
    </w:tbl>
    <w:p w14:paraId="13ADA962" w14:textId="77777777" w:rsidR="00A26658" w:rsidRPr="00A26658" w:rsidRDefault="00A26658" w:rsidP="00A26658">
      <w:pPr>
        <w:pStyle w:val="sporden"/>
        <w:jc w:val="both"/>
        <w:rPr>
          <w:rFonts w:ascii="Calibri" w:hAnsi="Calibri" w:cs="Calibri"/>
          <w:sz w:val="24"/>
          <w:szCs w:val="24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nr. 3. -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Graficul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cererilor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prefinanţare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plată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rambursare</w:t>
      </w:r>
      <w:proofErr w:type="spellEnd"/>
    </w:p>
    <w:p w14:paraId="0847DCE9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(Se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ataşează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Graficul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cererilor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prefinanţare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plată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/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rambursare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generat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sistemul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informatic MySMIS2021.)</w:t>
      </w:r>
    </w:p>
    <w:p w14:paraId="47F294FC" w14:textId="77777777" w:rsidR="00A26658" w:rsidRPr="00A26658" w:rsidRDefault="00A26658" w:rsidP="00A26658">
      <w:pPr>
        <w:pStyle w:val="sporden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nr. 4. -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Acordul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parteneriat</w:t>
      </w:r>
      <w:proofErr w:type="spellEnd"/>
    </w:p>
    <w:p w14:paraId="404A662E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(Se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ataşează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Acordul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parteneriat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semnat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este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cazul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>.)</w:t>
      </w:r>
    </w:p>
    <w:p w14:paraId="013EDC5D" w14:textId="77777777" w:rsidR="00A26658" w:rsidRPr="00A26658" w:rsidRDefault="00A26658" w:rsidP="00A26658">
      <w:pPr>
        <w:pStyle w:val="sporden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Anexa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nr. 5. -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Condiţii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specifice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ale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deciziei</w:t>
      </w:r>
      <w:proofErr w:type="spellEnd"/>
      <w:r w:rsidRPr="00A26658">
        <w:rPr>
          <w:rFonts w:ascii="Calibri" w:hAnsi="Calibri" w:cs="Calibri"/>
          <w:sz w:val="24"/>
          <w:szCs w:val="24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sz w:val="24"/>
          <w:szCs w:val="24"/>
          <w:shd w:val="clear" w:color="auto" w:fill="FFFFFF"/>
        </w:rPr>
        <w:t>finanţare</w:t>
      </w:r>
      <w:proofErr w:type="spellEnd"/>
    </w:p>
    <w:p w14:paraId="6398939B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  <w:shd w:val="clear" w:color="auto" w:fill="FFFFFF"/>
        </w:rPr>
      </w:pPr>
      <w:r w:rsidRPr="00A26658">
        <w:rPr>
          <w:rFonts w:ascii="Calibri" w:hAnsi="Calibri" w:cs="Calibri"/>
          <w:color w:val="000000"/>
          <w:shd w:val="clear" w:color="auto" w:fill="FFFFFF"/>
        </w:rPr>
        <w:t xml:space="preserve">(Se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ataşează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AM,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pentru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fiecare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apel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proiecte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dacă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este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A26658">
        <w:rPr>
          <w:rFonts w:ascii="Calibri" w:hAnsi="Calibri" w:cs="Calibri"/>
          <w:color w:val="000000"/>
          <w:shd w:val="clear" w:color="auto" w:fill="FFFFFF"/>
        </w:rPr>
        <w:t>cazul</w:t>
      </w:r>
      <w:proofErr w:type="spellEnd"/>
      <w:r w:rsidRPr="00A26658">
        <w:rPr>
          <w:rFonts w:ascii="Calibri" w:hAnsi="Calibri" w:cs="Calibri"/>
          <w:color w:val="000000"/>
          <w:shd w:val="clear" w:color="auto" w:fill="FFFFFF"/>
        </w:rPr>
        <w:t xml:space="preserve">.) </w:t>
      </w:r>
    </w:p>
    <w:p w14:paraId="6F638782" w14:textId="77777777" w:rsidR="00A26658" w:rsidRPr="00A26658" w:rsidRDefault="00A26658" w:rsidP="00A26658">
      <w:pPr>
        <w:pStyle w:val="spar"/>
        <w:jc w:val="both"/>
        <w:rPr>
          <w:rFonts w:ascii="Calibri" w:hAnsi="Calibri" w:cs="Calibri"/>
          <w:color w:val="000000"/>
        </w:rPr>
      </w:pPr>
      <w:r w:rsidRPr="00A26658">
        <w:rPr>
          <w:rFonts w:ascii="Calibri" w:hAnsi="Calibri" w:cs="Calibri"/>
          <w:color w:val="000000"/>
        </w:rPr>
        <w:t>-----</w:t>
      </w:r>
    </w:p>
    <w:p w14:paraId="1BE092A2" w14:textId="70B570E7" w:rsidR="00B06A3B" w:rsidRPr="00A26658" w:rsidRDefault="00B06A3B" w:rsidP="00A26658">
      <w:pPr>
        <w:rPr>
          <w:rFonts w:ascii="Calibri" w:hAnsi="Calibri" w:cs="Calibri"/>
          <w:szCs w:val="24"/>
        </w:rPr>
      </w:pPr>
    </w:p>
    <w:sectPr w:rsidR="00B06A3B" w:rsidRPr="00A26658" w:rsidSect="00FC4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40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9EAA" w14:textId="77777777" w:rsidR="00FF3A29" w:rsidRDefault="00FF3A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</w:t>
        </w:r>
        <w:r w:rsidR="00590580" w:rsidRPr="00590580">
          <w:rPr>
            <w:noProof/>
            <w:lang w:val="ro-RO"/>
          </w:rPr>
          <w:t>0</w:t>
        </w:r>
        <w:r>
          <w:fldChar w:fldCharType="end"/>
        </w:r>
      </w:p>
    </w:sdtContent>
  </w:sdt>
  <w:p w14:paraId="2EA5427D" w14:textId="3143D1E3" w:rsidR="001A20F1" w:rsidRDefault="00FF3A29" w:rsidP="00FF3A29">
    <w:pPr>
      <w:pStyle w:val="Footer"/>
      <w:jc w:val="center"/>
    </w:pPr>
    <w:r>
      <w:rPr>
        <w:noProof/>
      </w:rPr>
      <w:drawing>
        <wp:inline distT="0" distB="0" distL="0" distR="0" wp14:anchorId="0D216F93" wp14:editId="0270824F">
          <wp:extent cx="5651500" cy="676910"/>
          <wp:effectExtent l="0" t="0" r="635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DED5" w14:textId="77777777" w:rsidR="00FF3A29" w:rsidRDefault="00FF3A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5B26" w14:textId="77777777" w:rsidR="00FF3A29" w:rsidRDefault="00FF3A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4AE2C338" w:rsidR="001A20F1" w:rsidRDefault="00FC4CB0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 wp14:anchorId="78682331" wp14:editId="4E1B059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972810" cy="706755"/>
          <wp:effectExtent l="0" t="0" r="889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9E4B" w14:textId="77777777" w:rsidR="00FF3A29" w:rsidRDefault="00FF3A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644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6B4673B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9996FCB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47125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0A258BF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362535E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7A53D85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B9F5A57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1BDB4930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E24067D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1E8175F6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08F3C6E"/>
    <w:multiLevelType w:val="hybridMultilevel"/>
    <w:tmpl w:val="0F4EA546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A16B1F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93C233E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2CC40A6B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5D72D54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6242F71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5E001C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37C138B6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8C23493"/>
    <w:multiLevelType w:val="hybridMultilevel"/>
    <w:tmpl w:val="5D641B3E"/>
    <w:lvl w:ilvl="0" w:tplc="6B007CA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702A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DF44D4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3F5F50C0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45B16862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77B7D38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4A8B789A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4CA5256A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1FB5537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A7349AA"/>
    <w:multiLevelType w:val="hybridMultilevel"/>
    <w:tmpl w:val="7AF69786"/>
    <w:lvl w:ilvl="0" w:tplc="0809000F">
      <w:start w:val="1"/>
      <w:numFmt w:val="decimal"/>
      <w:lvlText w:val="%1."/>
      <w:lvlJc w:val="left"/>
      <w:pPr>
        <w:ind w:left="960" w:hanging="360"/>
      </w:pPr>
    </w:lvl>
    <w:lvl w:ilvl="1" w:tplc="08090019" w:tentative="1">
      <w:start w:val="1"/>
      <w:numFmt w:val="lowerLetter"/>
      <w:lvlText w:val="%2."/>
      <w:lvlJc w:val="left"/>
      <w:pPr>
        <w:ind w:left="1680" w:hanging="360"/>
      </w:pPr>
    </w:lvl>
    <w:lvl w:ilvl="2" w:tplc="0809001B" w:tentative="1">
      <w:start w:val="1"/>
      <w:numFmt w:val="lowerRoman"/>
      <w:lvlText w:val="%3."/>
      <w:lvlJc w:val="right"/>
      <w:pPr>
        <w:ind w:left="2400" w:hanging="180"/>
      </w:pPr>
    </w:lvl>
    <w:lvl w:ilvl="3" w:tplc="0809000F" w:tentative="1">
      <w:start w:val="1"/>
      <w:numFmt w:val="decimal"/>
      <w:lvlText w:val="%4."/>
      <w:lvlJc w:val="left"/>
      <w:pPr>
        <w:ind w:left="3120" w:hanging="360"/>
      </w:pPr>
    </w:lvl>
    <w:lvl w:ilvl="4" w:tplc="08090019" w:tentative="1">
      <w:start w:val="1"/>
      <w:numFmt w:val="lowerLetter"/>
      <w:lvlText w:val="%5."/>
      <w:lvlJc w:val="left"/>
      <w:pPr>
        <w:ind w:left="3840" w:hanging="360"/>
      </w:pPr>
    </w:lvl>
    <w:lvl w:ilvl="5" w:tplc="0809001B" w:tentative="1">
      <w:start w:val="1"/>
      <w:numFmt w:val="lowerRoman"/>
      <w:lvlText w:val="%6."/>
      <w:lvlJc w:val="right"/>
      <w:pPr>
        <w:ind w:left="4560" w:hanging="180"/>
      </w:pPr>
    </w:lvl>
    <w:lvl w:ilvl="6" w:tplc="0809000F" w:tentative="1">
      <w:start w:val="1"/>
      <w:numFmt w:val="decimal"/>
      <w:lvlText w:val="%7."/>
      <w:lvlJc w:val="left"/>
      <w:pPr>
        <w:ind w:left="5280" w:hanging="360"/>
      </w:pPr>
    </w:lvl>
    <w:lvl w:ilvl="7" w:tplc="08090019" w:tentative="1">
      <w:start w:val="1"/>
      <w:numFmt w:val="lowerLetter"/>
      <w:lvlText w:val="%8."/>
      <w:lvlJc w:val="left"/>
      <w:pPr>
        <w:ind w:left="6000" w:hanging="360"/>
      </w:pPr>
    </w:lvl>
    <w:lvl w:ilvl="8" w:tplc="08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65F52234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0D4E84"/>
    <w:multiLevelType w:val="hybridMultilevel"/>
    <w:tmpl w:val="7AF69786"/>
    <w:lvl w:ilvl="0" w:tplc="FFFFFFFF">
      <w:start w:val="1"/>
      <w:numFmt w:val="decimal"/>
      <w:lvlText w:val="%1."/>
      <w:lvlJc w:val="left"/>
      <w:pPr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66435F48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A4238D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62297D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E4E645C"/>
    <w:multiLevelType w:val="hybridMultilevel"/>
    <w:tmpl w:val="0F4EA54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AF43C3"/>
    <w:multiLevelType w:val="hybridMultilevel"/>
    <w:tmpl w:val="D6EE0440"/>
    <w:lvl w:ilvl="0" w:tplc="A5EA8618">
      <w:start w:val="1"/>
      <w:numFmt w:val="upperRoman"/>
      <w:lvlText w:val="%1."/>
      <w:lvlJc w:val="left"/>
      <w:pPr>
        <w:ind w:left="96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36"/>
  </w:num>
  <w:num w:numId="3">
    <w:abstractNumId w:val="29"/>
  </w:num>
  <w:num w:numId="4">
    <w:abstractNumId w:val="12"/>
  </w:num>
  <w:num w:numId="5">
    <w:abstractNumId w:val="20"/>
  </w:num>
  <w:num w:numId="6">
    <w:abstractNumId w:val="25"/>
  </w:num>
  <w:num w:numId="7">
    <w:abstractNumId w:val="13"/>
  </w:num>
  <w:num w:numId="8">
    <w:abstractNumId w:val="8"/>
  </w:num>
  <w:num w:numId="9">
    <w:abstractNumId w:val="30"/>
  </w:num>
  <w:num w:numId="10">
    <w:abstractNumId w:val="27"/>
  </w:num>
  <w:num w:numId="11">
    <w:abstractNumId w:val="1"/>
  </w:num>
  <w:num w:numId="12">
    <w:abstractNumId w:val="10"/>
  </w:num>
  <w:num w:numId="13">
    <w:abstractNumId w:val="7"/>
  </w:num>
  <w:num w:numId="14">
    <w:abstractNumId w:val="11"/>
  </w:num>
  <w:num w:numId="15">
    <w:abstractNumId w:val="5"/>
  </w:num>
  <w:num w:numId="16">
    <w:abstractNumId w:val="19"/>
  </w:num>
  <w:num w:numId="17">
    <w:abstractNumId w:val="32"/>
  </w:num>
  <w:num w:numId="18">
    <w:abstractNumId w:val="9"/>
  </w:num>
  <w:num w:numId="19">
    <w:abstractNumId w:val="2"/>
  </w:num>
  <w:num w:numId="20">
    <w:abstractNumId w:val="23"/>
  </w:num>
  <w:num w:numId="21">
    <w:abstractNumId w:val="14"/>
  </w:num>
  <w:num w:numId="22">
    <w:abstractNumId w:val="33"/>
  </w:num>
  <w:num w:numId="23">
    <w:abstractNumId w:val="34"/>
  </w:num>
  <w:num w:numId="24">
    <w:abstractNumId w:val="4"/>
  </w:num>
  <w:num w:numId="25">
    <w:abstractNumId w:val="17"/>
  </w:num>
  <w:num w:numId="26">
    <w:abstractNumId w:val="0"/>
  </w:num>
  <w:num w:numId="27">
    <w:abstractNumId w:val="24"/>
  </w:num>
  <w:num w:numId="28">
    <w:abstractNumId w:val="28"/>
  </w:num>
  <w:num w:numId="29">
    <w:abstractNumId w:val="6"/>
  </w:num>
  <w:num w:numId="30">
    <w:abstractNumId w:val="21"/>
  </w:num>
  <w:num w:numId="31">
    <w:abstractNumId w:val="16"/>
  </w:num>
  <w:num w:numId="32">
    <w:abstractNumId w:val="35"/>
  </w:num>
  <w:num w:numId="33">
    <w:abstractNumId w:val="22"/>
  </w:num>
  <w:num w:numId="34">
    <w:abstractNumId w:val="26"/>
  </w:num>
  <w:num w:numId="35">
    <w:abstractNumId w:val="31"/>
  </w:num>
  <w:num w:numId="36">
    <w:abstractNumId w:val="15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83EB8"/>
    <w:rsid w:val="00092E64"/>
    <w:rsid w:val="000979FF"/>
    <w:rsid w:val="000B041D"/>
    <w:rsid w:val="000B0513"/>
    <w:rsid w:val="000B42E6"/>
    <w:rsid w:val="000B44C3"/>
    <w:rsid w:val="000C0B51"/>
    <w:rsid w:val="000D04E9"/>
    <w:rsid w:val="000D318B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E7A9A"/>
    <w:rsid w:val="003028FF"/>
    <w:rsid w:val="00312D59"/>
    <w:rsid w:val="00314E43"/>
    <w:rsid w:val="003166E0"/>
    <w:rsid w:val="00326F89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22B3C"/>
    <w:rsid w:val="00432BC4"/>
    <w:rsid w:val="00432ED2"/>
    <w:rsid w:val="004508A7"/>
    <w:rsid w:val="00464EFA"/>
    <w:rsid w:val="00466CE2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6282F"/>
    <w:rsid w:val="006703FE"/>
    <w:rsid w:val="00672B68"/>
    <w:rsid w:val="00674149"/>
    <w:rsid w:val="00674E91"/>
    <w:rsid w:val="00676A98"/>
    <w:rsid w:val="006855EF"/>
    <w:rsid w:val="00692B09"/>
    <w:rsid w:val="006A70E1"/>
    <w:rsid w:val="006B30F3"/>
    <w:rsid w:val="006B3E32"/>
    <w:rsid w:val="006B770A"/>
    <w:rsid w:val="006C03B8"/>
    <w:rsid w:val="006C295C"/>
    <w:rsid w:val="006C3125"/>
    <w:rsid w:val="006E4E39"/>
    <w:rsid w:val="006F14E2"/>
    <w:rsid w:val="006F51A0"/>
    <w:rsid w:val="006F64C4"/>
    <w:rsid w:val="00723AD7"/>
    <w:rsid w:val="00725221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15B53"/>
    <w:rsid w:val="00A21213"/>
    <w:rsid w:val="00A22D40"/>
    <w:rsid w:val="00A24883"/>
    <w:rsid w:val="00A259C9"/>
    <w:rsid w:val="00A26658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02B2"/>
    <w:rsid w:val="00B81088"/>
    <w:rsid w:val="00B92B3F"/>
    <w:rsid w:val="00B93230"/>
    <w:rsid w:val="00BA1421"/>
    <w:rsid w:val="00BB309E"/>
    <w:rsid w:val="00BB4575"/>
    <w:rsid w:val="00BB566B"/>
    <w:rsid w:val="00C069B0"/>
    <w:rsid w:val="00C144F0"/>
    <w:rsid w:val="00C453F5"/>
    <w:rsid w:val="00C46D4E"/>
    <w:rsid w:val="00C8015A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C466D"/>
    <w:rsid w:val="00DD147A"/>
    <w:rsid w:val="00DD6EFF"/>
    <w:rsid w:val="00DD78BD"/>
    <w:rsid w:val="00DE265F"/>
    <w:rsid w:val="00DE381B"/>
    <w:rsid w:val="00DE3BEF"/>
    <w:rsid w:val="00DE3D1A"/>
    <w:rsid w:val="00DE68E9"/>
    <w:rsid w:val="00DF5272"/>
    <w:rsid w:val="00E01020"/>
    <w:rsid w:val="00E02476"/>
    <w:rsid w:val="00E05285"/>
    <w:rsid w:val="00E06D9B"/>
    <w:rsid w:val="00E07078"/>
    <w:rsid w:val="00E24C7A"/>
    <w:rsid w:val="00E256F4"/>
    <w:rsid w:val="00E356BE"/>
    <w:rsid w:val="00E42B2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1201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C4CB0"/>
    <w:rsid w:val="00FD49A5"/>
    <w:rsid w:val="00FE47C5"/>
    <w:rsid w:val="00FE7AB5"/>
    <w:rsid w:val="00FF3303"/>
    <w:rsid w:val="00FF3A29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1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  <w:style w:type="paragraph" w:customStyle="1" w:styleId="spar">
    <w:name w:val="s_par"/>
    <w:basedOn w:val="Normal"/>
    <w:rsid w:val="00A26658"/>
    <w:pPr>
      <w:ind w:left="225"/>
    </w:pPr>
    <w:rPr>
      <w:rFonts w:ascii="Times New Roman" w:eastAsiaTheme="minorEastAsia" w:hAnsi="Times New Roman" w:cs="Times New Roman"/>
      <w:szCs w:val="24"/>
    </w:rPr>
  </w:style>
  <w:style w:type="paragraph" w:customStyle="1" w:styleId="sartttl">
    <w:name w:val="s_art_ttl"/>
    <w:basedOn w:val="Normal"/>
    <w:rsid w:val="00A26658"/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orden">
    <w:name w:val="s_por_den"/>
    <w:basedOn w:val="Normal"/>
    <w:rsid w:val="00A26658"/>
    <w:rPr>
      <w:rFonts w:ascii="Verdana" w:eastAsiaTheme="minorEastAsia" w:hAnsi="Verdana" w:cs="Times New Roman"/>
      <w:b/>
      <w:bCs/>
      <w:color w:val="8B0000"/>
      <w:sz w:val="21"/>
      <w:szCs w:val="21"/>
    </w:rPr>
  </w:style>
  <w:style w:type="paragraph" w:customStyle="1" w:styleId="spar1">
    <w:name w:val="s_par1"/>
    <w:basedOn w:val="Normal"/>
    <w:rsid w:val="00A26658"/>
    <w:rPr>
      <w:rFonts w:ascii="Verdana" w:eastAsiaTheme="minorEastAsia" w:hAnsi="Verdana" w:cs="Times New Roman"/>
      <w:sz w:val="15"/>
      <w:szCs w:val="15"/>
    </w:rPr>
  </w:style>
  <w:style w:type="character" w:customStyle="1" w:styleId="spar3">
    <w:name w:val="s_par3"/>
    <w:basedOn w:val="DefaultParagraphFont"/>
    <w:rsid w:val="00A26658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alnttl1">
    <w:name w:val="s_aln_ttl1"/>
    <w:basedOn w:val="DefaultParagraphFont"/>
    <w:rsid w:val="00A26658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DefaultParagraphFont"/>
    <w:rsid w:val="00A26658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ctttl1">
    <w:name w:val="s_pct_ttl1"/>
    <w:basedOn w:val="DefaultParagraphFont"/>
    <w:rsid w:val="00A26658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pctbdy">
    <w:name w:val="s_pct_bdy"/>
    <w:basedOn w:val="DefaultParagraphFont"/>
    <w:rsid w:val="00A26658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itttl1">
    <w:name w:val="s_lit_ttl1"/>
    <w:basedOn w:val="DefaultParagraphFont"/>
    <w:rsid w:val="00A26658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paragraph" w:customStyle="1" w:styleId="spar4">
    <w:name w:val="s_par4"/>
    <w:basedOn w:val="Normal"/>
    <w:rsid w:val="00A26658"/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22</Pages>
  <Words>10779</Words>
  <Characters>61444</Characters>
  <Application>Microsoft Office Word</Application>
  <DocSecurity>0</DocSecurity>
  <Lines>512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72079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28</cp:revision>
  <dcterms:created xsi:type="dcterms:W3CDTF">2023-07-14T11:49:00Z</dcterms:created>
  <dcterms:modified xsi:type="dcterms:W3CDTF">2023-09-12T12:39:00Z</dcterms:modified>
</cp:coreProperties>
</file>